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4898" w14:textId="77777777" w:rsidR="00372A00" w:rsidRPr="0094605D" w:rsidRDefault="00F26570" w:rsidP="0037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94605D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RREGULLAT E PROVIMIT TE KUALIFIKIMIT</w:t>
      </w:r>
    </w:p>
    <w:p w14:paraId="338CDA38" w14:textId="77777777" w:rsidR="00372A00" w:rsidRPr="0094605D" w:rsidRDefault="00F26570" w:rsidP="00372A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94605D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PËR MARRJEN E LICENCËS SE USHTRIMIT TË PROFESIONIT TË NOTERIT</w:t>
      </w:r>
    </w:p>
    <w:p w14:paraId="3D9C5882" w14:textId="77777777" w:rsidR="00372A00" w:rsidRPr="00F26570" w:rsidRDefault="00372A00" w:rsidP="00372A0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FC359D" w14:textId="77777777" w:rsidR="00372A00" w:rsidRPr="00F26570" w:rsidRDefault="00372A00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Rregulli 1 - Paraqitja e kandidateve ditën e provimit</w:t>
      </w:r>
    </w:p>
    <w:p w14:paraId="33A19F54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1.1.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Kandidatët e kualifikuar për të marrë pjesë në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provim,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paraq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ten ditën e provimit në ambientet e Ministris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 s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6570" w:rsidRPr="00F26570">
        <w:rPr>
          <w:rFonts w:ascii="Times New Roman" w:hAnsi="Times New Roman" w:cs="Times New Roman"/>
          <w:sz w:val="24"/>
          <w:szCs w:val="24"/>
          <w:lang w:val="sq-AL"/>
        </w:rPr>
        <w:t>Drejtësisë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me mjet identifikimi (kart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 identiteti  ose  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pasaporta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vlefshme).</w:t>
      </w:r>
    </w:p>
    <w:p w14:paraId="5A6A2471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1.2.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Hyrja p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 ambientet e br</w:t>
      </w:r>
      <w:r w:rsidR="00EA69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ndshme të Mini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stris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26570" w:rsidRPr="00F26570">
        <w:rPr>
          <w:rFonts w:ascii="Times New Roman" w:hAnsi="Times New Roman" w:cs="Times New Roman"/>
          <w:sz w:val="24"/>
          <w:szCs w:val="24"/>
          <w:lang w:val="sq-AL"/>
        </w:rPr>
        <w:t>Drejtësisë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het nga Hyrja </w:t>
      </w:r>
      <w:r w:rsidR="00F2657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r. 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2- Zyra e Pritjes me Popullin, duke filluar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1 or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rpara orarit t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njoftuar p</w:t>
      </w:r>
      <w:r w:rsidR="00D66DB8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provimin.</w:t>
      </w:r>
    </w:p>
    <w:p w14:paraId="3504F578" w14:textId="77777777" w:rsidR="00372A00" w:rsidRPr="00F26570" w:rsidRDefault="00D66DB8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1.3.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ët në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6570" w:rsidRPr="00F26570">
        <w:rPr>
          <w:rFonts w:ascii="Times New Roman" w:hAnsi="Times New Roman" w:cs="Times New Roman"/>
          <w:sz w:val="24"/>
          <w:szCs w:val="24"/>
          <w:lang w:val="sq-AL"/>
        </w:rPr>
        <w:t>mënyrë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ë rregullt paraqiten duke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treguar kart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F26570" w:rsidRPr="00F26570">
        <w:rPr>
          <w:rFonts w:ascii="Times New Roman" w:hAnsi="Times New Roman" w:cs="Times New Roman"/>
          <w:sz w:val="24"/>
          <w:szCs w:val="24"/>
          <w:lang w:val="sq-AL"/>
        </w:rPr>
        <w:t>identitetit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 orar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in e njoftuar 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faqen zyrtare të </w:t>
      </w:r>
      <w:r w:rsidR="00C17CE4">
        <w:rPr>
          <w:rFonts w:ascii="Times New Roman" w:hAnsi="Times New Roman" w:cs="Times New Roman"/>
          <w:sz w:val="24"/>
          <w:szCs w:val="24"/>
          <w:lang w:val="sq-AL"/>
        </w:rPr>
        <w:t>Dhomës Kombëtare të Noterëve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A49BE15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1.4.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Kandidati i </w:t>
      </w:r>
      <w:r w:rsidR="00AE12D3" w:rsidRPr="00F26570">
        <w:rPr>
          <w:rFonts w:ascii="Times New Roman" w:hAnsi="Times New Roman" w:cs="Times New Roman"/>
          <w:sz w:val="24"/>
          <w:szCs w:val="24"/>
          <w:lang w:val="sq-AL"/>
        </w:rPr>
        <w:t>kualifikuar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provim, duhet t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deklaroj n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 apo jo i pajisur me mjete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E7391" w:rsidRPr="00F26570">
        <w:rPr>
          <w:rFonts w:ascii="Times New Roman" w:hAnsi="Times New Roman" w:cs="Times New Roman"/>
          <w:sz w:val="24"/>
          <w:szCs w:val="24"/>
          <w:lang w:val="sq-AL"/>
        </w:rPr>
        <w:t>ë tilla si çante, dosje, laps ose stilolaps,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mjet</w:t>
      </w:r>
      <w:r w:rsidR="008544CE">
        <w:rPr>
          <w:rFonts w:ascii="Times New Roman" w:hAnsi="Times New Roman" w:cs="Times New Roman"/>
          <w:sz w:val="24"/>
          <w:szCs w:val="24"/>
          <w:lang w:val="sq-AL"/>
        </w:rPr>
        <w:t>e elektronike apo telefonike të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cilat nuk lejohen 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sall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e provimit. </w:t>
      </w:r>
      <w:r w:rsidR="00AE12D3" w:rsidRPr="00F26570">
        <w:rPr>
          <w:rFonts w:ascii="Times New Roman" w:hAnsi="Times New Roman" w:cs="Times New Roman"/>
          <w:sz w:val="24"/>
          <w:szCs w:val="24"/>
          <w:lang w:val="sq-AL"/>
        </w:rPr>
        <w:t>Nëse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ai apo ajo është i pajisur me mjete të tilla, duhet t</w:t>
      </w:r>
      <w:r w:rsidR="00BA63D5">
        <w:rPr>
          <w:rFonts w:ascii="Times New Roman" w:hAnsi="Times New Roman" w:cs="Times New Roman"/>
          <w:sz w:val="24"/>
          <w:szCs w:val="24"/>
          <w:lang w:val="sq-AL"/>
        </w:rPr>
        <w:t>’i lerë për ruajtje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12D3" w:rsidRPr="00F26570">
        <w:rPr>
          <w:rFonts w:ascii="Times New Roman" w:hAnsi="Times New Roman" w:cs="Times New Roman"/>
          <w:sz w:val="24"/>
          <w:szCs w:val="24"/>
          <w:lang w:val="sq-AL"/>
        </w:rPr>
        <w:t>këto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sende pran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punonj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sve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caktuar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ketë q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llim.</w:t>
      </w:r>
    </w:p>
    <w:p w14:paraId="1A0DFC08" w14:textId="77777777" w:rsidR="00372A00" w:rsidRPr="0076139D" w:rsidRDefault="00372A00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Rregulli 2</w:t>
      </w:r>
      <w:r w:rsidR="00E43F1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- Sistemimi n</w:t>
      </w:r>
      <w:r w:rsidR="002E733F" w:rsidRPr="00F2657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sall</w:t>
      </w:r>
      <w:r w:rsidR="002E733F" w:rsidRPr="00F2657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14:paraId="258A6E90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2.1.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ftoh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en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zënë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vendet sipas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ërzgjedhjeje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rastësore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të caktuar nga Administratorët e Provimit dhe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asnj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 arsye nuk mund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ndryshojn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vendin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caktuar.</w:t>
      </w:r>
    </w:p>
    <w:p w14:paraId="4AC051DE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2.2.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Pas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sistemimit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sall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ëve,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kandidati nuk lejohet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dal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 ja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 si dhe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asnj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 person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i paautorizuar nuk lejohet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futet 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sall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ën e provimit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këtu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edhe kandid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ët të cilët janë paraqitur </w:t>
      </w:r>
      <w:r w:rsidR="00BE0CE1" w:rsidRPr="00F26570">
        <w:rPr>
          <w:rFonts w:ascii="Times New Roman" w:hAnsi="Times New Roman" w:cs="Times New Roman"/>
          <w:sz w:val="24"/>
          <w:szCs w:val="24"/>
          <w:lang w:val="sq-AL"/>
        </w:rPr>
        <w:t>jashtë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ërcaktua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hyrjen 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sall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F119D65" w14:textId="77777777" w:rsidR="00372A00" w:rsidRPr="0076139D" w:rsidRDefault="00372A00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</w:t>
      </w:r>
      <w:r w:rsidR="002E733F" w:rsidRPr="00F26570">
        <w:rPr>
          <w:rFonts w:ascii="Times New Roman" w:hAnsi="Times New Roman" w:cs="Times New Roman"/>
          <w:b/>
          <w:sz w:val="24"/>
          <w:szCs w:val="24"/>
          <w:lang w:val="sq-AL"/>
        </w:rPr>
        <w:t>u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lli 3 - Njohja me rregullat e provimit</w:t>
      </w:r>
    </w:p>
    <w:p w14:paraId="71D00D2C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3.1.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Administrator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 e Provimit, gjat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procesit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33C7" w:rsidRPr="00F26570">
        <w:rPr>
          <w:rFonts w:ascii="Times New Roman" w:hAnsi="Times New Roman" w:cs="Times New Roman"/>
          <w:sz w:val="24"/>
          <w:szCs w:val="24"/>
          <w:lang w:val="sq-AL"/>
        </w:rPr>
        <w:t>shumëfishimit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tez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ës,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33C7">
        <w:rPr>
          <w:rFonts w:ascii="Times New Roman" w:hAnsi="Times New Roman" w:cs="Times New Roman"/>
          <w:sz w:val="24"/>
          <w:szCs w:val="24"/>
          <w:lang w:val="sq-AL"/>
        </w:rPr>
        <w:t>njofto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FD33C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rregullat e provimit si dhe i fto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ato t'i lexojn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D33C7" w:rsidRPr="00F26570">
        <w:rPr>
          <w:rFonts w:ascii="Times New Roman" w:hAnsi="Times New Roman" w:cs="Times New Roman"/>
          <w:sz w:val="24"/>
          <w:szCs w:val="24"/>
          <w:lang w:val="sq-AL"/>
        </w:rPr>
        <w:t>këto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rregul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la në dok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ument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in e shp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rndar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ëllim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59636E3" w14:textId="77777777" w:rsidR="00372A00" w:rsidRPr="00F26570" w:rsidRDefault="002E733F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3.2.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Pas njoftimit mbi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rregull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at e provimit, kandidati ftohet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 një deklaratë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="007613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krim, se u njoh me rregullat </w:t>
      </w:r>
      <w:r w:rsidR="007068B6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pranon ato </w:t>
      </w:r>
      <w:r w:rsidR="007068B6">
        <w:rPr>
          <w:rFonts w:ascii="Times New Roman" w:hAnsi="Times New Roman" w:cs="Times New Roman"/>
          <w:sz w:val="24"/>
          <w:szCs w:val="24"/>
          <w:lang w:val="sq-AL"/>
        </w:rPr>
        <w:t>gjithashtu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nd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rgjegjsh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m se shkelja e tyre p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n shkak p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FD33C7" w:rsidRPr="00F26570">
        <w:rPr>
          <w:rFonts w:ascii="Times New Roman" w:hAnsi="Times New Roman" w:cs="Times New Roman"/>
          <w:sz w:val="24"/>
          <w:szCs w:val="24"/>
          <w:lang w:val="sq-AL"/>
        </w:rPr>
        <w:t>skualifikimin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 menj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hersh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ëm nga prov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imi.</w:t>
      </w:r>
    </w:p>
    <w:p w14:paraId="7EC47D80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3.3.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Refuzimi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ënshkrimin e deklarimit apo </w:t>
      </w:r>
      <w:r w:rsidR="00FD33C7" w:rsidRPr="00F26570">
        <w:rPr>
          <w:rFonts w:ascii="Times New Roman" w:hAnsi="Times New Roman" w:cs="Times New Roman"/>
          <w:sz w:val="24"/>
          <w:szCs w:val="24"/>
          <w:lang w:val="sq-AL"/>
        </w:rPr>
        <w:t>kundërshtimi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p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ërmbajtje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E733F" w:rsidRPr="00F26570">
        <w:rPr>
          <w:rFonts w:ascii="Times New Roman" w:hAnsi="Times New Roman" w:cs="Times New Roman"/>
          <w:sz w:val="24"/>
          <w:szCs w:val="24"/>
          <w:lang w:val="sq-AL"/>
        </w:rPr>
        <w:t>ë 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ij, sjell</w:t>
      </w:r>
      <w:r w:rsidR="00B647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humbjen e menj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hershme t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kryer </w:t>
      </w:r>
      <w:r w:rsidR="00FD33C7" w:rsidRPr="00F26570">
        <w:rPr>
          <w:rFonts w:ascii="Times New Roman" w:hAnsi="Times New Roman" w:cs="Times New Roman"/>
          <w:sz w:val="24"/>
          <w:szCs w:val="24"/>
          <w:lang w:val="sq-AL"/>
        </w:rPr>
        <w:t>konkurrimin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30F8BF0" w14:textId="77777777" w:rsidR="00372A00" w:rsidRPr="00BA5F2A" w:rsidRDefault="00372A00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Rregulli 4 - Koh</w:t>
      </w:r>
      <w:r w:rsidR="00041C62" w:rsidRPr="00F2657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zgjatja e provimit</w:t>
      </w:r>
    </w:p>
    <w:p w14:paraId="16785A85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4.1.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3F1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Koh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zgja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ja e provimit p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rcaktohet në tez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 e provimit nga K</w:t>
      </w:r>
      <w:r w:rsidR="00041C62" w:rsidRPr="00F26570">
        <w:rPr>
          <w:rFonts w:ascii="Times New Roman" w:hAnsi="Times New Roman" w:cs="Times New Roman"/>
          <w:sz w:val="24"/>
          <w:szCs w:val="24"/>
          <w:lang w:val="sq-AL"/>
        </w:rPr>
        <w:t>omisioni i Hartimit të Te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zës.</w:t>
      </w:r>
    </w:p>
    <w:p w14:paraId="22355C1D" w14:textId="77777777" w:rsidR="00372A00" w:rsidRPr="00F26570" w:rsidRDefault="00F6505B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Rregulli 5 -</w:t>
      </w:r>
      <w:r w:rsidR="00372A00"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Sjellja gjatë provimit</w:t>
      </w:r>
    </w:p>
    <w:p w14:paraId="741B760F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5.1.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ab/>
        <w:t>Kandidatit i ndalohet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flas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me koleg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 apo persona të tjer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sall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ë. Komunikimi,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si dhe marrja apo dh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nia e ndihm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s i </w:t>
      </w:r>
      <w:r w:rsidR="00BA5F2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8411B" w:rsidRPr="00F26570">
        <w:rPr>
          <w:rFonts w:ascii="Times New Roman" w:hAnsi="Times New Roman" w:cs="Times New Roman"/>
          <w:sz w:val="24"/>
          <w:szCs w:val="24"/>
          <w:lang w:val="sq-AL"/>
        </w:rPr>
        <w:t>kualifikon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automatikisht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dy kandidat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t.</w:t>
      </w:r>
    </w:p>
    <w:p w14:paraId="5C8D201F" w14:textId="77777777" w:rsidR="00372A00" w:rsidRPr="00F26570" w:rsidRDefault="00832F8F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5.2.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ab/>
        <w:t>Kandidatit i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ndalohet 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dal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nga salla e provi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mit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8411B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48411B" w:rsidRPr="00F26570">
        <w:rPr>
          <w:rFonts w:ascii="Times New Roman" w:hAnsi="Times New Roman" w:cs="Times New Roman"/>
          <w:sz w:val="24"/>
          <w:szCs w:val="24"/>
          <w:lang w:val="sq-AL"/>
        </w:rPr>
        <w:t>farëdo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lloj arsyeje.</w:t>
      </w:r>
    </w:p>
    <w:p w14:paraId="2D163D13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5.3.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ab/>
        <w:t>Gjat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provimit,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ët nuk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lejohe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nojn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ose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len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emrin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të b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shenja sado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 vogla, shprehje apo citime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tez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 provimit,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cilat mund ta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jn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 kandidatin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identifikuesh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m. Shenjat q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sohen si mund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si  identifikimi vendose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n rast pas rasti nga Komisioni 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Kualifikimit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Noter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ëve (Komisioni 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ësimit), dhe mund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32F8F" w:rsidRPr="00F26570">
        <w:rPr>
          <w:rFonts w:ascii="Times New Roman" w:hAnsi="Times New Roman" w:cs="Times New Roman"/>
          <w:sz w:val="24"/>
          <w:szCs w:val="24"/>
          <w:lang w:val="sq-AL"/>
        </w:rPr>
        <w:t>ërfshijnë, por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pa u kufizuar:</w:t>
      </w:r>
    </w:p>
    <w:p w14:paraId="4931C663" w14:textId="77777777" w:rsidR="00372A00" w:rsidRPr="005E4EAF" w:rsidRDefault="00372A00" w:rsidP="00E43F1B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E4EAF">
        <w:rPr>
          <w:rFonts w:ascii="Times New Roman" w:hAnsi="Times New Roman" w:cs="Times New Roman"/>
          <w:b/>
          <w:i/>
          <w:sz w:val="24"/>
          <w:szCs w:val="24"/>
          <w:lang w:val="sq-AL"/>
        </w:rPr>
        <w:t>a)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 w:rsidR="00F6505B" w:rsidRPr="005E4EAF">
        <w:rPr>
          <w:rFonts w:ascii="Times New Roman" w:hAnsi="Times New Roman" w:cs="Times New Roman"/>
          <w:i/>
          <w:sz w:val="24"/>
          <w:szCs w:val="24"/>
          <w:lang w:val="sq-AL"/>
        </w:rPr>
        <w:t>S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hkrimi i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gjith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provimit ose nj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pjes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tij me g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>rma kapitale</w:t>
      </w:r>
      <w:r w:rsidR="002F6219" w:rsidRPr="005E4EAF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15949E8E" w14:textId="77777777" w:rsidR="00372A00" w:rsidRPr="005E4EAF" w:rsidRDefault="00372A00" w:rsidP="00E43F1B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E4EAF">
        <w:rPr>
          <w:rFonts w:ascii="Times New Roman" w:hAnsi="Times New Roman" w:cs="Times New Roman"/>
          <w:b/>
          <w:i/>
          <w:sz w:val="24"/>
          <w:szCs w:val="24"/>
          <w:lang w:val="sq-AL"/>
        </w:rPr>
        <w:t>b)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 w:rsidR="00F6505B" w:rsidRPr="005E4EAF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ënvizimi i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fjal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ëve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apo shprehjeve</w:t>
      </w:r>
      <w:r w:rsidR="002F6219" w:rsidRPr="005E4EAF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01937838" w14:textId="77777777" w:rsidR="00372A00" w:rsidRPr="005E4EAF" w:rsidRDefault="00372A00" w:rsidP="00E43F1B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E4EAF">
        <w:rPr>
          <w:rFonts w:ascii="Times New Roman" w:hAnsi="Times New Roman" w:cs="Times New Roman"/>
          <w:b/>
          <w:i/>
          <w:sz w:val="24"/>
          <w:szCs w:val="24"/>
          <w:lang w:val="sq-AL"/>
        </w:rPr>
        <w:t>c)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 w:rsidR="00F6505B" w:rsidRPr="005E4EAF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3B056A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ërdorimi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emrave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person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ave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ndrysh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E4EAF">
        <w:rPr>
          <w:rFonts w:ascii="Times New Roman" w:hAnsi="Times New Roman" w:cs="Times New Roman"/>
          <w:i/>
          <w:sz w:val="24"/>
          <w:szCs w:val="24"/>
          <w:lang w:val="sq-AL"/>
        </w:rPr>
        <w:t>m;</w:t>
      </w:r>
    </w:p>
    <w:p w14:paraId="1177AC87" w14:textId="77777777" w:rsidR="00372A00" w:rsidRPr="005E4EAF" w:rsidRDefault="005E4EAF" w:rsidP="00E43F1B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ҫ</w:t>
      </w:r>
      <w:r w:rsidR="00372A00" w:rsidRPr="005E4EAF">
        <w:rPr>
          <w:rFonts w:ascii="Times New Roman" w:hAnsi="Times New Roman" w:cs="Times New Roman"/>
          <w:b/>
          <w:i/>
          <w:sz w:val="24"/>
          <w:szCs w:val="24"/>
          <w:lang w:val="sq-AL"/>
        </w:rPr>
        <w:t>)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 w:rsidR="00F6505B" w:rsidRPr="005E4EAF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3B056A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ërdorimi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dh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ënave identifikuese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q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 lidhen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me pun</w:t>
      </w:r>
      <w:r w:rsidR="00832F8F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ën e kandidatit,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familjen</w:t>
      </w:r>
      <w:r w:rsidR="002F6219" w:rsidRPr="005E4EAF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372262A7" w14:textId="77777777" w:rsidR="00372A00" w:rsidRPr="005E4EAF" w:rsidRDefault="005E4EAF" w:rsidP="00E43F1B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d</w:t>
      </w:r>
      <w:r w:rsidR="00372A00" w:rsidRPr="005E4EAF">
        <w:rPr>
          <w:rFonts w:ascii="Times New Roman" w:hAnsi="Times New Roman" w:cs="Times New Roman"/>
          <w:b/>
          <w:i/>
          <w:sz w:val="24"/>
          <w:szCs w:val="24"/>
          <w:lang w:val="sq-AL"/>
        </w:rPr>
        <w:t>)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ab/>
        <w:t>N</w:t>
      </w:r>
      <w:r w:rsidR="00FD4079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se </w:t>
      </w:r>
      <w:r w:rsidR="003B056A" w:rsidRPr="005E4EAF">
        <w:rPr>
          <w:rFonts w:ascii="Times New Roman" w:hAnsi="Times New Roman" w:cs="Times New Roman"/>
          <w:i/>
          <w:sz w:val="24"/>
          <w:szCs w:val="24"/>
          <w:lang w:val="sq-AL"/>
        </w:rPr>
        <w:t>konstatohen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shenja t</w:t>
      </w:r>
      <w:r w:rsidR="00FD4079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ndryshme në flet</w:t>
      </w:r>
      <w:r w:rsidR="00FD4079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ën e provimit 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>ato do t</w:t>
      </w:r>
      <w:r w:rsidR="00FD4079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shpallen t</w:t>
      </w:r>
      <w:r w:rsidR="00FD4079" w:rsidRPr="005E4EAF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pavlefshme dhe kandidati </w:t>
      </w:r>
      <w:r w:rsidR="003B056A" w:rsidRPr="005E4EAF">
        <w:rPr>
          <w:rFonts w:ascii="Times New Roman" w:hAnsi="Times New Roman" w:cs="Times New Roman"/>
          <w:i/>
          <w:sz w:val="24"/>
          <w:szCs w:val="24"/>
          <w:lang w:val="sq-AL"/>
        </w:rPr>
        <w:t>s’kualifikohet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konku</w:t>
      </w:r>
      <w:r w:rsidR="003B056A" w:rsidRPr="005E4EAF">
        <w:rPr>
          <w:rFonts w:ascii="Times New Roman" w:hAnsi="Times New Roman" w:cs="Times New Roman"/>
          <w:i/>
          <w:sz w:val="24"/>
          <w:szCs w:val="24"/>
          <w:lang w:val="sq-AL"/>
        </w:rPr>
        <w:t>rimi</w:t>
      </w:r>
      <w:r w:rsidR="00372A00" w:rsidRPr="005E4EAF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3D2F7B12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5.4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ab/>
        <w:t>N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rast se teza e provimit do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përmbajë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pyetje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me zhvilli</w:t>
      </w:r>
      <w:r w:rsidR="00DB36E0">
        <w:rPr>
          <w:rFonts w:ascii="Times New Roman" w:hAnsi="Times New Roman" w:cs="Times New Roman"/>
          <w:sz w:val="24"/>
          <w:szCs w:val="24"/>
          <w:lang w:val="sq-AL"/>
        </w:rPr>
        <w:t>m, n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rast korrigjimi të një fjale apo shprehjeje, kandidati duhet ta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fusë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atë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ne kllapa dhe ti kaloje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vize sipas fjalës apo shprehjes se hequr.</w:t>
      </w:r>
    </w:p>
    <w:p w14:paraId="61912DF7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5.5.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ab/>
        <w:t>Nëse teza  do t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përmbajë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 pyetje  me  alte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rn</w:t>
      </w:r>
      <w:r w:rsidR="008D22BA">
        <w:rPr>
          <w:rFonts w:ascii="Times New Roman" w:hAnsi="Times New Roman" w:cs="Times New Roman"/>
          <w:sz w:val="24"/>
          <w:szCs w:val="24"/>
          <w:lang w:val="sq-AL"/>
        </w:rPr>
        <w:t>ativa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kandidati  duhet të </w:t>
      </w:r>
      <w:r w:rsidR="004970BB" w:rsidRPr="00F26570">
        <w:rPr>
          <w:rFonts w:ascii="Times New Roman" w:hAnsi="Times New Roman" w:cs="Times New Roman"/>
          <w:sz w:val="24"/>
          <w:szCs w:val="24"/>
          <w:lang w:val="sq-AL"/>
        </w:rPr>
        <w:t>rrethoj</w:t>
      </w:r>
      <w:r w:rsidR="004970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7AA" w:rsidRPr="00F26570">
        <w:rPr>
          <w:rFonts w:ascii="Times New Roman" w:hAnsi="Times New Roman" w:cs="Times New Roman"/>
          <w:sz w:val="24"/>
          <w:szCs w:val="24"/>
          <w:lang w:val="sq-AL"/>
        </w:rPr>
        <w:t>sakt</w:t>
      </w:r>
      <w:r w:rsidR="009E1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vetëm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njërën</w:t>
      </w:r>
      <w:r w:rsidR="009E17AA">
        <w:rPr>
          <w:rFonts w:ascii="Times New Roman" w:hAnsi="Times New Roman" w:cs="Times New Roman"/>
          <w:sz w:val="24"/>
          <w:szCs w:val="24"/>
          <w:lang w:val="sq-AL"/>
        </w:rPr>
        <w:t xml:space="preserve"> prej tyre. Korrigjimi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mëvonshëm</w:t>
      </w:r>
      <w:r w:rsidR="009E17A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apo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shënimi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m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alternative e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bën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përgjigjen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automatikisht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pasakt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99D4110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5.6.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ab/>
        <w:t>Gjatë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plotësimit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tez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s së provimit të mos lihen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hapësira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 xml:space="preserve"> boshe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 xml:space="preserve"> midis rreshtave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dhe t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mos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përdoren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baza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jera materiale veç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atyre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na n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dispozicion nga </w:t>
      </w:r>
      <w:r w:rsidR="00C17CE4">
        <w:rPr>
          <w:rFonts w:ascii="Times New Roman" w:hAnsi="Times New Roman" w:cs="Times New Roman"/>
          <w:sz w:val="24"/>
          <w:szCs w:val="24"/>
          <w:lang w:val="sq-AL"/>
        </w:rPr>
        <w:t>Dhoma Kombëtare e Noterëve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0D5BE9B" w14:textId="77777777" w:rsidR="00372A00" w:rsidRPr="00F26570" w:rsidRDefault="00372A00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Rregulli 6</w:t>
      </w:r>
      <w:r w:rsidR="00F650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- </w:t>
      </w:r>
      <w:r w:rsidR="003B056A" w:rsidRPr="00F26570">
        <w:rPr>
          <w:rFonts w:ascii="Times New Roman" w:hAnsi="Times New Roman" w:cs="Times New Roman"/>
          <w:b/>
          <w:sz w:val="24"/>
          <w:szCs w:val="24"/>
          <w:lang w:val="sq-AL"/>
        </w:rPr>
        <w:t>Përgjegjësia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6347CA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rast shkelje t</w:t>
      </w:r>
      <w:r w:rsidR="006347CA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rregullave</w:t>
      </w:r>
    </w:p>
    <w:p w14:paraId="62FE1833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6.1.</w:t>
      </w:r>
      <w:r w:rsidR="00E43F1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Shkelja e rregullave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provimit nga kandidat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 xml:space="preserve">sjell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automatikisht 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kualifikimin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tyre nga procesi i 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konku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rimit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8F338D7" w14:textId="77777777" w:rsidR="00372A00" w:rsidRPr="00F26570" w:rsidRDefault="00372A00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6.2.</w:t>
      </w:r>
      <w:r w:rsidR="00E43F1B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Administrator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 e Provimit n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konstatimit të shkeljes s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rregullave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përcaktuara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këtë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rregullore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kërkojnë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pa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paralajmërim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lënien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menjëherë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sallës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provimit,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duke i komunikuar edhe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skualifikimin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nga procedura e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konkurrimit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 xml:space="preserve"> ketë qellim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Administrator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t e Provimit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mbajnë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procesverbal, ku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shënohet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 xml:space="preserve"> em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kandidatit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skualifikuar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, nxjerrjen jashtë procesit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vlerësimit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tez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tij, si dhe shkaqet q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 xml:space="preserve">ë çuar në 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skualifikimin</w:t>
      </w:r>
      <w:r w:rsidR="00E43F1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e kandidatit. Procesverbali i 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>skualifikimi</w:t>
      </w:r>
      <w:r w:rsidR="00D90DA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nënshkruhet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nga t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gjithë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Administrator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t e Provimit dhe b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het pjes</w:t>
      </w:r>
      <w:r w:rsidR="006347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 dosjes mbi procedura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 zhvilluara duke i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bashkëlidhur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edhe tez</w:t>
      </w:r>
      <w:r w:rsidR="00F44E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sz w:val="24"/>
          <w:szCs w:val="24"/>
          <w:lang w:val="sq-AL"/>
        </w:rPr>
        <w:t>n e tij të provimit.</w:t>
      </w:r>
    </w:p>
    <w:p w14:paraId="35D8618E" w14:textId="77777777" w:rsidR="00372A00" w:rsidRPr="00F26570" w:rsidRDefault="00372A00" w:rsidP="00E43F1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Rregulli 7</w:t>
      </w:r>
      <w:r w:rsidR="00F650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- Garantimi i  </w:t>
      </w:r>
      <w:r w:rsidR="003B056A" w:rsidRPr="00F26570">
        <w:rPr>
          <w:rFonts w:ascii="Times New Roman" w:hAnsi="Times New Roman" w:cs="Times New Roman"/>
          <w:b/>
          <w:sz w:val="24"/>
          <w:szCs w:val="24"/>
          <w:lang w:val="sq-AL"/>
        </w:rPr>
        <w:t>barazisë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midis kandidat</w:t>
      </w:r>
      <w:r w:rsidR="00F44E1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ve</w:t>
      </w:r>
    </w:p>
    <w:p w14:paraId="49234912" w14:textId="77777777" w:rsidR="00372A00" w:rsidRPr="00F26570" w:rsidRDefault="006347CA" w:rsidP="00E43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7.1.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3F1B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funksion të garantimit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barazisë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midis kandidateve dhe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paanësisë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ne procesin  e</w:t>
      </w:r>
      <w:r w:rsidR="003B056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Vlerësimit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, teza e provimit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vlerësohet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duke ruajtur </w:t>
      </w:r>
      <w:r w:rsidR="003B056A" w:rsidRPr="00F26570">
        <w:rPr>
          <w:rFonts w:ascii="Times New Roman" w:hAnsi="Times New Roman" w:cs="Times New Roman"/>
          <w:sz w:val="24"/>
          <w:szCs w:val="24"/>
          <w:lang w:val="sq-AL"/>
        </w:rPr>
        <w:t>anonimatin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e kandidatit.</w:t>
      </w:r>
    </w:p>
    <w:p w14:paraId="69B71220" w14:textId="77777777" w:rsidR="00372A00" w:rsidRDefault="00372A00" w:rsidP="00E43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Rregulli 8</w:t>
      </w:r>
      <w:r w:rsidR="00F650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F26570">
        <w:rPr>
          <w:rFonts w:ascii="Times New Roman" w:hAnsi="Times New Roman" w:cs="Times New Roman"/>
          <w:b/>
          <w:sz w:val="24"/>
          <w:szCs w:val="24"/>
          <w:lang w:val="sq-AL"/>
        </w:rPr>
        <w:t>- Publikimi i rezultateve</w:t>
      </w:r>
    </w:p>
    <w:p w14:paraId="2F3F469E" w14:textId="77777777" w:rsidR="00E43F1B" w:rsidRPr="00E43F1B" w:rsidRDefault="00E43F1B" w:rsidP="00E43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84F1F1" w14:textId="77777777" w:rsidR="005A229F" w:rsidRPr="00F26570" w:rsidRDefault="006347CA" w:rsidP="00E43F1B">
      <w:pPr>
        <w:spacing w:after="0"/>
        <w:jc w:val="both"/>
        <w:rPr>
          <w:lang w:val="sq-AL"/>
        </w:rPr>
      </w:pPr>
      <w:r w:rsidRPr="00E43F1B">
        <w:rPr>
          <w:rFonts w:ascii="Times New Roman" w:hAnsi="Times New Roman" w:cs="Times New Roman"/>
          <w:b/>
          <w:sz w:val="24"/>
          <w:szCs w:val="24"/>
          <w:lang w:val="sq-AL"/>
        </w:rPr>
        <w:t>8.1.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3F1B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Publikimi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i rezultateve b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>het jo 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="002F479A">
        <w:rPr>
          <w:rFonts w:ascii="Times New Roman" w:hAnsi="Times New Roman" w:cs="Times New Roman"/>
          <w:sz w:val="24"/>
          <w:szCs w:val="24"/>
          <w:lang w:val="sq-AL"/>
        </w:rPr>
        <w:t>3 (tre</w:t>
      </w:r>
      <w:bookmarkStart w:id="0" w:name="_GoBack"/>
      <w:bookmarkEnd w:id="0"/>
      <w:r w:rsidR="00E43F1B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372A00" w:rsidRPr="00F26570">
        <w:rPr>
          <w:rFonts w:ascii="Times New Roman" w:hAnsi="Times New Roman" w:cs="Times New Roman"/>
          <w:sz w:val="24"/>
          <w:szCs w:val="24"/>
          <w:lang w:val="sq-AL"/>
        </w:rPr>
        <w:t xml:space="preserve"> ditë nga data e zhvillimit te provi</w:t>
      </w:r>
      <w:r w:rsidR="00372A00" w:rsidRPr="00F26570">
        <w:rPr>
          <w:lang w:val="sq-AL"/>
        </w:rPr>
        <w:t>mit.</w:t>
      </w:r>
    </w:p>
    <w:sectPr w:rsidR="005A229F" w:rsidRPr="00F26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0"/>
    <w:rsid w:val="00041C62"/>
    <w:rsid w:val="00096E02"/>
    <w:rsid w:val="002E733F"/>
    <w:rsid w:val="002F479A"/>
    <w:rsid w:val="002F6219"/>
    <w:rsid w:val="00371145"/>
    <w:rsid w:val="00372A00"/>
    <w:rsid w:val="003B056A"/>
    <w:rsid w:val="0048411B"/>
    <w:rsid w:val="004970BB"/>
    <w:rsid w:val="00504572"/>
    <w:rsid w:val="005A229F"/>
    <w:rsid w:val="005E4EAF"/>
    <w:rsid w:val="005E7391"/>
    <w:rsid w:val="00632E16"/>
    <w:rsid w:val="006347CA"/>
    <w:rsid w:val="00641838"/>
    <w:rsid w:val="006549F6"/>
    <w:rsid w:val="006D4843"/>
    <w:rsid w:val="007068B6"/>
    <w:rsid w:val="0076139D"/>
    <w:rsid w:val="00795EAA"/>
    <w:rsid w:val="007C2AA6"/>
    <w:rsid w:val="00832F8F"/>
    <w:rsid w:val="008544CE"/>
    <w:rsid w:val="008D22BA"/>
    <w:rsid w:val="00913B3E"/>
    <w:rsid w:val="0094605D"/>
    <w:rsid w:val="009E17AA"/>
    <w:rsid w:val="00AE12D3"/>
    <w:rsid w:val="00B64782"/>
    <w:rsid w:val="00BA5F2A"/>
    <w:rsid w:val="00BA63D5"/>
    <w:rsid w:val="00BB0070"/>
    <w:rsid w:val="00BE0CE1"/>
    <w:rsid w:val="00C17CE4"/>
    <w:rsid w:val="00C64CD3"/>
    <w:rsid w:val="00D66DB8"/>
    <w:rsid w:val="00D90DAE"/>
    <w:rsid w:val="00DB36E0"/>
    <w:rsid w:val="00E43F1B"/>
    <w:rsid w:val="00EA6987"/>
    <w:rsid w:val="00F26570"/>
    <w:rsid w:val="00F44E19"/>
    <w:rsid w:val="00F6505B"/>
    <w:rsid w:val="00F709D5"/>
    <w:rsid w:val="00FD33C7"/>
    <w:rsid w:val="00FD407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FE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Bledar Kabashi</dc:creator>
  <cp:lastModifiedBy>Mimoza Sadushaj</cp:lastModifiedBy>
  <cp:revision>2</cp:revision>
  <cp:lastPrinted>2016-03-16T10:13:00Z</cp:lastPrinted>
  <dcterms:created xsi:type="dcterms:W3CDTF">2016-11-23T18:25:00Z</dcterms:created>
  <dcterms:modified xsi:type="dcterms:W3CDTF">2016-11-23T18:25:00Z</dcterms:modified>
</cp:coreProperties>
</file>